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BAC" w:rsidRPr="00A544A7" w:rsidRDefault="00A544A7" w:rsidP="00A544A7">
      <w:pPr>
        <w:jc w:val="center"/>
        <w:rPr>
          <w:sz w:val="28"/>
          <w:szCs w:val="28"/>
        </w:rPr>
      </w:pPr>
      <w:r w:rsidRPr="00A544A7">
        <w:rPr>
          <w:sz w:val="28"/>
          <w:szCs w:val="28"/>
        </w:rPr>
        <w:t>Отчет правления СНТ о проделанной работе.</w:t>
      </w:r>
    </w:p>
    <w:p w:rsidR="00A544A7" w:rsidRDefault="00A544A7" w:rsidP="00A544A7">
      <w:pPr>
        <w:jc w:val="center"/>
      </w:pPr>
    </w:p>
    <w:p w:rsidR="00A544A7" w:rsidRDefault="00A544A7" w:rsidP="00A544A7">
      <w:pPr>
        <w:ind w:firstLine="708"/>
        <w:jc w:val="both"/>
      </w:pPr>
      <w:r>
        <w:t xml:space="preserve">Правление СНТ в лице председателя Кузнецова А. А. и членов Медведева М.В., Грачева А.С., </w:t>
      </w:r>
      <w:r w:rsidRPr="002928F9">
        <w:rPr>
          <w:rFonts w:cstheme="minorHAnsi"/>
        </w:rPr>
        <w:t>Башкин</w:t>
      </w:r>
      <w:r>
        <w:rPr>
          <w:rFonts w:cstheme="minorHAnsi"/>
        </w:rPr>
        <w:t>а</w:t>
      </w:r>
      <w:r w:rsidRPr="002928F9">
        <w:rPr>
          <w:rFonts w:cstheme="minorHAnsi"/>
        </w:rPr>
        <w:t xml:space="preserve"> Е.А.</w:t>
      </w:r>
      <w:r>
        <w:rPr>
          <w:rFonts w:cstheme="minorHAnsi"/>
        </w:rPr>
        <w:t xml:space="preserve">, Гаврилова М.В. было избрано на внеочередном общем собрании членов СНТ 26 августа 2023 года. </w:t>
      </w:r>
      <w:r>
        <w:t xml:space="preserve"> </w:t>
      </w:r>
      <w:r w:rsidR="003C33B9">
        <w:t>Р</w:t>
      </w:r>
      <w:r>
        <w:t xml:space="preserve">егистрация Кузнецова А.А. в качестве председателя </w:t>
      </w:r>
      <w:r w:rsidR="003C33B9">
        <w:t xml:space="preserve">в налоговом органе </w:t>
      </w:r>
      <w:r>
        <w:t xml:space="preserve">была произведена 25 декабря 2023 года. С этого момента контроль над расчетными счетами перешел к новому правлению. </w:t>
      </w:r>
    </w:p>
    <w:p w:rsidR="00A544A7" w:rsidRDefault="00A544A7" w:rsidP="00A544A7">
      <w:pPr>
        <w:ind w:firstLine="708"/>
        <w:jc w:val="both"/>
      </w:pPr>
      <w:r>
        <w:t>В период с 26 августа по настоящее время было проведено еще одно собрания – в заочной форме, на котором Устав СНТ был приведен в соответствие с последней редакцией ФЗ 217. Устав был зарегистрирован в налоговом органе.</w:t>
      </w:r>
    </w:p>
    <w:p w:rsidR="00355DFB" w:rsidRDefault="003C33B9" w:rsidP="00355DFB">
      <w:pPr>
        <w:ind w:firstLine="708"/>
        <w:jc w:val="both"/>
      </w:pPr>
      <w:r>
        <w:t>На</w:t>
      </w:r>
      <w:r w:rsidR="00A544A7">
        <w:t xml:space="preserve"> момент перехода расчетных счетов СНТ </w:t>
      </w:r>
      <w:r w:rsidR="00591388">
        <w:t>по контроль нового правления, долг перед поставщиком электроэнергии составлял порядка 2,</w:t>
      </w:r>
      <w:r>
        <w:t xml:space="preserve">5 </w:t>
      </w:r>
      <w:r w:rsidR="00591388">
        <w:t xml:space="preserve">млн. рублей. На расчетном счету </w:t>
      </w:r>
      <w:r>
        <w:t>денежные средства отсутствовали, а сам расчетный счет был арестован. Т</w:t>
      </w:r>
      <w:r w:rsidR="00591388">
        <w:t>акже была задолженность перед поставщиком воды Т+, а так же, как позднее стало известно правлению долг перед ООО «Крона» в размере около 160 тыс. рублей (фирма, которая якобы обслуживает наш центральный водопровод, ремонтом которого правление занималось в середине апреля).</w:t>
      </w:r>
      <w:r w:rsidR="00391167">
        <w:t xml:space="preserve"> В феврале 2024 года был прорыв внутреннего водопровода СНТ. Ремонт водопровода обошёлся в 30 тысяч рублей, на текущий момент эти деньги ремонтной бригаде не оплачены.</w:t>
      </w:r>
    </w:p>
    <w:p w:rsidR="00591388" w:rsidRDefault="00591388" w:rsidP="00591388">
      <w:pPr>
        <w:ind w:firstLine="708"/>
        <w:jc w:val="both"/>
      </w:pPr>
      <w:r>
        <w:t xml:space="preserve">С октября 2023 года до текущего момента продолжается </w:t>
      </w:r>
      <w:r w:rsidR="001E15C3">
        <w:t>судебное разбирательство, на</w:t>
      </w:r>
      <w:r>
        <w:t xml:space="preserve"> котором гражданин Филимонов Т.А. пытается оспорить результаты общего собрания от 26 августа 2023 год, ссылаясь на это судебное заседание игнорирует все требования правления о передаче документов. Таким образом правлением было принято решение падать на Филимонова в суд и истребовать документы уже в судебном порядке. </w:t>
      </w:r>
    </w:p>
    <w:p w:rsidR="00591388" w:rsidRDefault="00591388" w:rsidP="00591388">
      <w:pPr>
        <w:ind w:firstLine="708"/>
        <w:jc w:val="both"/>
      </w:pPr>
      <w:r>
        <w:t xml:space="preserve">До текущего момента документы старый председатель не передал и передавать не собирается, тем самым парализуя </w:t>
      </w:r>
      <w:r w:rsidR="000744DC">
        <w:t xml:space="preserve">работы СНТ. </w:t>
      </w:r>
    </w:p>
    <w:p w:rsidR="000744DC" w:rsidRDefault="000744DC" w:rsidP="00591388">
      <w:pPr>
        <w:ind w:firstLine="708"/>
        <w:jc w:val="both"/>
      </w:pPr>
      <w:r>
        <w:t>Что касается сторожей в СНТ, на текущий момент все граждане, работающие на этой должности, написали заявление на увольнение по собственному желанию. Долгов у СНТ перед указанными работниками нет. Новые работники не приняты, в связи с отсутствием денег на расчетном счету.</w:t>
      </w:r>
    </w:p>
    <w:p w:rsidR="00F055A1" w:rsidRDefault="00F055A1" w:rsidP="00591388">
      <w:pPr>
        <w:ind w:firstLine="708"/>
        <w:jc w:val="both"/>
      </w:pPr>
      <w:r>
        <w:t xml:space="preserve">Главный бухгалтер </w:t>
      </w:r>
      <w:proofErr w:type="spellStart"/>
      <w:r>
        <w:t>Шурихт</w:t>
      </w:r>
      <w:proofErr w:type="spellEnd"/>
      <w:r>
        <w:t xml:space="preserve"> И.Е. до сих пор не предоставила не одного первичного документа бухгалтерского учета. Игнорирует требования председателя и правления по передаче 1С Бухгалтерии, и как стало известно правлению до сих пор звонит членам СНТ и уговаривает их не платить. </w:t>
      </w:r>
      <w:proofErr w:type="spellStart"/>
      <w:r>
        <w:t>Шурихт</w:t>
      </w:r>
      <w:proofErr w:type="spellEnd"/>
      <w:r>
        <w:t xml:space="preserve"> И.Е. свою работу не выполняет, на работе не появляется и заработную плату не получает. Также в связи с переходом новому правлению программы для сдачи отчетности в электронном виде стало известно о существовании еще одного бухгалтера СНТ – некой Терновой. Указанная гражданка на связь не выходила, место </w:t>
      </w:r>
      <w:r w:rsidR="006E77BF">
        <w:t>проживания</w:t>
      </w:r>
      <w:r>
        <w:t xml:space="preserve"> ее не известно, работы она никакие не выполняет и как следствие заработная плата ей не выплачивается.</w:t>
      </w:r>
    </w:p>
    <w:p w:rsidR="00F055A1" w:rsidRDefault="00F055A1" w:rsidP="009D1480">
      <w:pPr>
        <w:ind w:firstLine="708"/>
        <w:jc w:val="both"/>
      </w:pPr>
      <w:r>
        <w:t>В трудовую инспекцию так же поступил</w:t>
      </w:r>
      <w:r w:rsidR="009D1480">
        <w:t>а</w:t>
      </w:r>
      <w:r>
        <w:t xml:space="preserve"> </w:t>
      </w:r>
      <w:r w:rsidR="009D1480">
        <w:t>жалоба</w:t>
      </w:r>
      <w:r>
        <w:t xml:space="preserve"> от Филимонов</w:t>
      </w:r>
      <w:r w:rsidR="00C86C71">
        <w:t>а</w:t>
      </w:r>
      <w:r>
        <w:t xml:space="preserve"> Т.А. </w:t>
      </w:r>
      <w:r w:rsidR="009D1480">
        <w:t>в которой утверждается, что он был уволен, однако до настоящего времени не уведомлен об увольнении, с приказом об увольнении не ознакомлен и расчетные суммы, причитающиеся при расторжении трудовых отношений, в том числе компенсация дней неиспользованного отпуска (более чем за пять лет) Филимонову Т.А. не выплачены.</w:t>
      </w:r>
    </w:p>
    <w:p w:rsidR="000744DC" w:rsidRDefault="000744DC" w:rsidP="00F055A1">
      <w:pPr>
        <w:ind w:firstLine="708"/>
        <w:jc w:val="both"/>
      </w:pPr>
      <w:r>
        <w:t xml:space="preserve">В апреле 2024 года в правление СНТ поступил запрос от поставщика электроэнергии с требованием передать показания общего прибора учета (общий счетчик СНТ). В своем требовании поставщик пояснил что гражданин Филимонов последний раз передавал эти показания в </w:t>
      </w:r>
      <w:r w:rsidRPr="000744DC">
        <w:rPr>
          <w:b/>
          <w:bCs/>
          <w:u w:val="single"/>
        </w:rPr>
        <w:t>феврале 2023 года</w:t>
      </w:r>
      <w:r>
        <w:t>! Таким образом после передачи показаний общего прибора учета счет за потребленную электроэнергию в марте 24 года составил порядка 550 тысяч рублей. Аналогичная ситуация произошла с поставщиком технической воды. На текущий момент, еще даже не начав потребление летней воды (большая труба), мы уже должны в Т+ за 1000 куб. метров потребленной воды.</w:t>
      </w:r>
    </w:p>
    <w:p w:rsidR="0094481A" w:rsidRDefault="0094481A" w:rsidP="0094481A">
      <w:pPr>
        <w:jc w:val="both"/>
      </w:pPr>
      <w:r>
        <w:lastRenderedPageBreak/>
        <w:tab/>
        <w:t xml:space="preserve">Всего с 25.12.2023 года поступило членских и целевых взносов - </w:t>
      </w:r>
      <w:r w:rsidRPr="006425B7">
        <w:rPr>
          <w:b/>
          <w:bCs/>
          <w:u w:val="single"/>
        </w:rPr>
        <w:t>2 134 219,41</w:t>
      </w:r>
      <w:r>
        <w:t xml:space="preserve"> р.</w:t>
      </w:r>
    </w:p>
    <w:p w:rsidR="0094481A" w:rsidRDefault="0094481A" w:rsidP="0094481A">
      <w:pPr>
        <w:jc w:val="both"/>
      </w:pPr>
      <w:r>
        <w:tab/>
        <w:t>Детальный отчет по поступившим и израсходованным денежным средствам представлен в таблице</w:t>
      </w:r>
      <w:r w:rsidR="00BB6907">
        <w:t xml:space="preserve"> (Таблица 1).</w:t>
      </w:r>
    </w:p>
    <w:p w:rsidR="0094481A" w:rsidRDefault="0094481A" w:rsidP="00BB6907">
      <w:pPr>
        <w:jc w:val="right"/>
      </w:pPr>
      <w:r>
        <w:tab/>
        <w:t xml:space="preserve"> </w:t>
      </w:r>
      <w:r w:rsidR="00BB6907">
        <w:t>Таблица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9"/>
      </w:tblGrid>
      <w:tr w:rsidR="0094481A" w:rsidTr="00BB6907">
        <w:trPr>
          <w:trHeight w:val="280"/>
        </w:trPr>
        <w:tc>
          <w:tcPr>
            <w:tcW w:w="7792" w:type="dxa"/>
            <w:shd w:val="clear" w:color="auto" w:fill="auto"/>
            <w:hideMark/>
          </w:tcPr>
          <w:p w:rsidR="0094481A" w:rsidRPr="006425B7" w:rsidRDefault="00BB6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2 134 219,41</w:t>
            </w:r>
          </w:p>
        </w:tc>
      </w:tr>
      <w:tr w:rsidR="0094481A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94481A" w:rsidRDefault="00BB6907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Членские и целевые взносы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2 134 219,41</w:t>
            </w:r>
          </w:p>
        </w:tc>
      </w:tr>
      <w:tr w:rsidR="0094481A" w:rsidTr="00BB6907">
        <w:trPr>
          <w:trHeight w:val="280"/>
        </w:trPr>
        <w:tc>
          <w:tcPr>
            <w:tcW w:w="7792" w:type="dxa"/>
            <w:shd w:val="clear" w:color="auto" w:fill="auto"/>
            <w:hideMark/>
          </w:tcPr>
          <w:p w:rsidR="0094481A" w:rsidRDefault="00BB6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2 066 870,07</w:t>
            </w:r>
          </w:p>
        </w:tc>
      </w:tr>
      <w:tr w:rsidR="0094481A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94481A" w:rsidRDefault="0094481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САРАТОВЭНЕРГО ПАО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635 292,39</w:t>
            </w:r>
          </w:p>
        </w:tc>
      </w:tr>
      <w:tr w:rsidR="0094481A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94481A" w:rsidRDefault="0094481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Филиал Саратовский ПАО Т ПЛЮС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30 013,71</w:t>
            </w:r>
          </w:p>
        </w:tc>
      </w:tr>
      <w:tr w:rsidR="0094481A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94481A" w:rsidRDefault="0094481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БЮРО АНАЛОГИЯ ПРАВА ООО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94481A" w:rsidTr="00BB6907">
        <w:trPr>
          <w:trHeight w:val="289"/>
        </w:trPr>
        <w:tc>
          <w:tcPr>
            <w:tcW w:w="7792" w:type="dxa"/>
            <w:shd w:val="clear" w:color="auto" w:fill="auto"/>
            <w:hideMark/>
          </w:tcPr>
          <w:p w:rsidR="0094481A" w:rsidRDefault="0094481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Закупка, расходы (хозяйственные расходы, замки и пр.)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2 031,06</w:t>
            </w:r>
          </w:p>
        </w:tc>
      </w:tr>
      <w:tr w:rsidR="0094481A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94481A" w:rsidRDefault="0094481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79 364,68</w:t>
            </w:r>
          </w:p>
        </w:tc>
      </w:tr>
      <w:tr w:rsidR="0094481A" w:rsidTr="00BB6907">
        <w:trPr>
          <w:trHeight w:val="258"/>
        </w:trPr>
        <w:tc>
          <w:tcPr>
            <w:tcW w:w="7792" w:type="dxa"/>
            <w:shd w:val="clear" w:color="auto" w:fill="auto"/>
            <w:hideMark/>
          </w:tcPr>
          <w:p w:rsidR="0094481A" w:rsidRDefault="0094481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 ФНС России по управлению долгом - взыскание долг по налогам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59 339,98</w:t>
            </w:r>
          </w:p>
        </w:tc>
      </w:tr>
      <w:tr w:rsidR="0094481A" w:rsidTr="00BB6907">
        <w:trPr>
          <w:trHeight w:val="477"/>
        </w:trPr>
        <w:tc>
          <w:tcPr>
            <w:tcW w:w="7792" w:type="dxa"/>
            <w:shd w:val="clear" w:color="auto" w:fill="auto"/>
            <w:hideMark/>
          </w:tcPr>
          <w:p w:rsidR="0094481A" w:rsidRDefault="0094481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УФК по Саратовской области (Октябрьское районное отделение судебных приставов города                    Саратова ГУФССП - Списание по исполнительным листам Саратовэнерго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1 023 837,23</w:t>
            </w:r>
          </w:p>
        </w:tc>
      </w:tr>
      <w:tr w:rsidR="0094481A" w:rsidTr="00BB6907">
        <w:trPr>
          <w:trHeight w:val="266"/>
        </w:trPr>
        <w:tc>
          <w:tcPr>
            <w:tcW w:w="7792" w:type="dxa"/>
            <w:shd w:val="clear" w:color="auto" w:fill="auto"/>
            <w:hideMark/>
          </w:tcPr>
          <w:p w:rsidR="0094481A" w:rsidRDefault="0094481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Перечисление подотчетному лицу (Кузнецов А.А., уплата гос. Пошлины, хоз. расходы и прочее)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4481A" w:rsidRDefault="00944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B6907" w:rsidTr="00BB6907">
        <w:trPr>
          <w:trHeight w:val="240"/>
        </w:trPr>
        <w:tc>
          <w:tcPr>
            <w:tcW w:w="7792" w:type="dxa"/>
            <w:shd w:val="clear" w:color="auto" w:fill="auto"/>
          </w:tcPr>
          <w:p w:rsidR="00BB6907" w:rsidRDefault="00BB6907" w:rsidP="00BB6907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ЗП Председатель</w:t>
            </w:r>
          </w:p>
        </w:tc>
        <w:tc>
          <w:tcPr>
            <w:tcW w:w="1559" w:type="dxa"/>
            <w:shd w:val="clear" w:color="auto" w:fill="auto"/>
            <w:noWrap/>
          </w:tcPr>
          <w:p w:rsidR="00BB6907" w:rsidRDefault="00BB6907" w:rsidP="00BB69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54 810,00</w:t>
            </w:r>
          </w:p>
        </w:tc>
      </w:tr>
      <w:tr w:rsidR="00BB6907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BB6907" w:rsidRDefault="00BB6907" w:rsidP="00BB6907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ЗП + БЛ Сторож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B6907" w:rsidRDefault="00BB6907" w:rsidP="00BB69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22 632,56</w:t>
            </w:r>
          </w:p>
        </w:tc>
      </w:tr>
      <w:tr w:rsidR="00BB6907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BB6907" w:rsidRDefault="00BB6907" w:rsidP="00BB6907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ЗП + БЛ Сторож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B6907" w:rsidRDefault="00BB6907" w:rsidP="00BB69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24 475,12</w:t>
            </w:r>
          </w:p>
        </w:tc>
      </w:tr>
      <w:tr w:rsidR="00BB6907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BB6907" w:rsidRDefault="00BB6907" w:rsidP="00BB6907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ЗП + БЛ Сторож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B6907" w:rsidRDefault="00BB6907" w:rsidP="00BB69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22 633,56</w:t>
            </w:r>
          </w:p>
        </w:tc>
      </w:tr>
      <w:tr w:rsidR="00BB6907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BB6907" w:rsidRDefault="00BB6907" w:rsidP="00BB6907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 Бухгалтер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B6907" w:rsidRDefault="00BB6907" w:rsidP="00BB69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3 870,16</w:t>
            </w:r>
          </w:p>
        </w:tc>
      </w:tr>
      <w:tr w:rsidR="00BB6907" w:rsidTr="00BB6907">
        <w:trPr>
          <w:trHeight w:val="240"/>
        </w:trPr>
        <w:tc>
          <w:tcPr>
            <w:tcW w:w="7792" w:type="dxa"/>
            <w:shd w:val="clear" w:color="auto" w:fill="auto"/>
            <w:hideMark/>
          </w:tcPr>
          <w:p w:rsidR="00BB6907" w:rsidRDefault="00BB6907" w:rsidP="00BB6907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Комиссия банка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B6907" w:rsidRDefault="00BB6907" w:rsidP="00BB69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18 569,62</w:t>
            </w:r>
          </w:p>
        </w:tc>
      </w:tr>
    </w:tbl>
    <w:p w:rsidR="009D1480" w:rsidRDefault="009D1480" w:rsidP="00F055A1">
      <w:pPr>
        <w:ind w:firstLine="708"/>
        <w:jc w:val="both"/>
      </w:pPr>
    </w:p>
    <w:p w:rsidR="0094481A" w:rsidRPr="00C86C71" w:rsidRDefault="0094481A" w:rsidP="0094481A">
      <w:pPr>
        <w:ind w:firstLine="708"/>
        <w:jc w:val="both"/>
      </w:pPr>
      <w:r>
        <w:t>В настоящее время расчетный счет заблокирован.</w:t>
      </w:r>
    </w:p>
    <w:p w:rsidR="00F055A1" w:rsidRDefault="00F055A1" w:rsidP="00FB55C4">
      <w:pPr>
        <w:jc w:val="both"/>
      </w:pPr>
    </w:p>
    <w:p w:rsidR="00FB55C4" w:rsidRDefault="00FB55C4" w:rsidP="00FB55C4">
      <w:pPr>
        <w:jc w:val="both"/>
      </w:pPr>
      <w:r>
        <w:t>Правлением СНТ были организованы и проведены следующие работы:</w:t>
      </w:r>
    </w:p>
    <w:p w:rsidR="00FB55C4" w:rsidRDefault="00FB55C4" w:rsidP="00A71546">
      <w:pPr>
        <w:pStyle w:val="a3"/>
        <w:numPr>
          <w:ilvl w:val="0"/>
          <w:numId w:val="4"/>
        </w:numPr>
        <w:jc w:val="both"/>
      </w:pPr>
      <w:r>
        <w:t>Благоустройство и ремонт дороги на улице Приволжской;</w:t>
      </w:r>
    </w:p>
    <w:p w:rsidR="00FB55C4" w:rsidRDefault="00FB55C4" w:rsidP="00A71546">
      <w:pPr>
        <w:pStyle w:val="a3"/>
        <w:numPr>
          <w:ilvl w:val="0"/>
          <w:numId w:val="4"/>
        </w:numPr>
        <w:jc w:val="both"/>
      </w:pPr>
      <w:r>
        <w:t>Отсыпка асфальтовой крошкой по улице Яровой;</w:t>
      </w:r>
    </w:p>
    <w:p w:rsidR="008B6904" w:rsidRDefault="008B6904" w:rsidP="00A71546">
      <w:pPr>
        <w:pStyle w:val="a3"/>
        <w:numPr>
          <w:ilvl w:val="0"/>
          <w:numId w:val="4"/>
        </w:numPr>
        <w:jc w:val="both"/>
      </w:pPr>
      <w:r>
        <w:t>Опиловка деревьев вдоль линии электроснабжения;</w:t>
      </w:r>
    </w:p>
    <w:p w:rsidR="00FB55C4" w:rsidRDefault="00FB55C4" w:rsidP="00A71546">
      <w:pPr>
        <w:pStyle w:val="a3"/>
        <w:numPr>
          <w:ilvl w:val="0"/>
          <w:numId w:val="4"/>
        </w:numPr>
        <w:jc w:val="both"/>
      </w:pPr>
      <w:r>
        <w:t>Профилирование центральной улицы с устройством лежачих полицейских, благодаря которым удалось избежать затопления улицы во время таяния снега;</w:t>
      </w:r>
    </w:p>
    <w:p w:rsidR="008B6904" w:rsidRDefault="008B6904" w:rsidP="00A71546">
      <w:pPr>
        <w:pStyle w:val="a3"/>
        <w:numPr>
          <w:ilvl w:val="0"/>
          <w:numId w:val="4"/>
        </w:numPr>
        <w:jc w:val="both"/>
      </w:pPr>
      <w:r>
        <w:t>Чистка центральной дороги в зимний период;</w:t>
      </w:r>
    </w:p>
    <w:p w:rsidR="008B6904" w:rsidRDefault="008B6904" w:rsidP="00A71546">
      <w:pPr>
        <w:pStyle w:val="a3"/>
        <w:numPr>
          <w:ilvl w:val="0"/>
          <w:numId w:val="4"/>
        </w:numPr>
        <w:jc w:val="both"/>
      </w:pPr>
      <w:r>
        <w:t>Подсыпка песчано-солевой смесью центральной дороги и оврага;</w:t>
      </w:r>
    </w:p>
    <w:p w:rsidR="008B6904" w:rsidRDefault="008B6904" w:rsidP="00A71546">
      <w:pPr>
        <w:pStyle w:val="a3"/>
        <w:numPr>
          <w:ilvl w:val="0"/>
          <w:numId w:val="4"/>
        </w:numPr>
        <w:jc w:val="both"/>
      </w:pPr>
      <w:r>
        <w:t>Ремонт водопровода;</w:t>
      </w:r>
    </w:p>
    <w:p w:rsidR="008B6904" w:rsidRDefault="008B6904" w:rsidP="00A71546">
      <w:pPr>
        <w:pStyle w:val="a3"/>
        <w:numPr>
          <w:ilvl w:val="0"/>
          <w:numId w:val="4"/>
        </w:numPr>
        <w:jc w:val="both"/>
      </w:pPr>
      <w:r>
        <w:t>Снятие показаний электросчетчиков членов СНТ;</w:t>
      </w:r>
    </w:p>
    <w:p w:rsidR="008B6904" w:rsidRDefault="008B6904" w:rsidP="00A71546">
      <w:pPr>
        <w:pStyle w:val="a3"/>
        <w:numPr>
          <w:ilvl w:val="0"/>
          <w:numId w:val="4"/>
        </w:numPr>
        <w:jc w:val="both"/>
      </w:pPr>
      <w:r>
        <w:t>Снятие показаний центрального счетчика воды;</w:t>
      </w:r>
    </w:p>
    <w:p w:rsidR="008B6904" w:rsidRDefault="008B6904" w:rsidP="00A71546">
      <w:pPr>
        <w:pStyle w:val="a3"/>
        <w:numPr>
          <w:ilvl w:val="0"/>
          <w:numId w:val="4"/>
        </w:numPr>
        <w:jc w:val="both"/>
      </w:pPr>
      <w:r>
        <w:t xml:space="preserve">Совместная работа с </w:t>
      </w:r>
      <w:proofErr w:type="spellStart"/>
      <w:r>
        <w:t>Россети</w:t>
      </w:r>
      <w:proofErr w:type="spellEnd"/>
      <w:r>
        <w:t xml:space="preserve"> Волга по 6-ому Яровому проезду;</w:t>
      </w:r>
    </w:p>
    <w:p w:rsidR="008B6904" w:rsidRDefault="00F95238" w:rsidP="00A71546">
      <w:pPr>
        <w:pStyle w:val="a3"/>
        <w:numPr>
          <w:ilvl w:val="0"/>
          <w:numId w:val="4"/>
        </w:numPr>
        <w:jc w:val="both"/>
      </w:pPr>
      <w:r>
        <w:t>Ремонт центральных задвижек и чистка фильтров;</w:t>
      </w:r>
    </w:p>
    <w:p w:rsidR="007424F4" w:rsidRDefault="007424F4" w:rsidP="00A71546">
      <w:pPr>
        <w:pStyle w:val="a3"/>
        <w:numPr>
          <w:ilvl w:val="0"/>
          <w:numId w:val="4"/>
        </w:numPr>
        <w:jc w:val="both"/>
      </w:pPr>
      <w:r>
        <w:t>Создание сайта СНТ;</w:t>
      </w:r>
    </w:p>
    <w:p w:rsidR="007424F4" w:rsidRDefault="007424F4" w:rsidP="00A71546">
      <w:pPr>
        <w:pStyle w:val="a3"/>
        <w:numPr>
          <w:ilvl w:val="0"/>
          <w:numId w:val="4"/>
        </w:numPr>
        <w:jc w:val="both"/>
      </w:pPr>
      <w:r>
        <w:t>Внедрение квитанци</w:t>
      </w:r>
      <w:r w:rsidR="00A71546">
        <w:t>й</w:t>
      </w:r>
      <w:r>
        <w:t xml:space="preserve"> для оплаты </w:t>
      </w:r>
      <w:r w:rsidR="00A71546">
        <w:t xml:space="preserve">услуг с </w:t>
      </w:r>
      <w:r w:rsidR="00A71546" w:rsidRPr="00A71546">
        <w:rPr>
          <w:lang w:val="en-US"/>
        </w:rPr>
        <w:t>QR</w:t>
      </w:r>
      <w:r w:rsidR="00A71546" w:rsidRPr="00A71546">
        <w:t xml:space="preserve"> </w:t>
      </w:r>
      <w:r w:rsidR="00A71546">
        <w:t>кодом;</w:t>
      </w:r>
    </w:p>
    <w:p w:rsidR="00A71546" w:rsidRDefault="00A71546" w:rsidP="00A71546">
      <w:pPr>
        <w:pStyle w:val="a3"/>
        <w:numPr>
          <w:ilvl w:val="0"/>
          <w:numId w:val="4"/>
        </w:numPr>
        <w:jc w:val="both"/>
      </w:pPr>
      <w:r>
        <w:t>Постоянное информирование членов СНТ о делах и проблема;</w:t>
      </w:r>
    </w:p>
    <w:p w:rsidR="00F95238" w:rsidRDefault="00F95238" w:rsidP="00A71546">
      <w:pPr>
        <w:pStyle w:val="a3"/>
        <w:numPr>
          <w:ilvl w:val="0"/>
          <w:numId w:val="4"/>
        </w:numPr>
        <w:jc w:val="both"/>
      </w:pPr>
      <w:r>
        <w:t>Восстановление документации СНТ;</w:t>
      </w:r>
    </w:p>
    <w:p w:rsidR="00A71546" w:rsidRDefault="00A71546" w:rsidP="00A71546">
      <w:pPr>
        <w:pStyle w:val="a3"/>
        <w:numPr>
          <w:ilvl w:val="0"/>
          <w:numId w:val="4"/>
        </w:numPr>
        <w:jc w:val="both"/>
      </w:pPr>
      <w:r>
        <w:t>Работа со следственными органами.</w:t>
      </w:r>
    </w:p>
    <w:p w:rsidR="00A71546" w:rsidRPr="00A544A7" w:rsidRDefault="00A71546" w:rsidP="00A71546">
      <w:pPr>
        <w:pStyle w:val="a3"/>
        <w:jc w:val="both"/>
      </w:pPr>
    </w:p>
    <w:sectPr w:rsidR="00A71546" w:rsidRPr="00A5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10FA"/>
    <w:multiLevelType w:val="hybridMultilevel"/>
    <w:tmpl w:val="C5026F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619E8"/>
    <w:multiLevelType w:val="hybridMultilevel"/>
    <w:tmpl w:val="438E0868"/>
    <w:lvl w:ilvl="0" w:tplc="8BA01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34C4"/>
    <w:multiLevelType w:val="hybridMultilevel"/>
    <w:tmpl w:val="6E4487D0"/>
    <w:lvl w:ilvl="0" w:tplc="8BA01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E52D7B"/>
    <w:multiLevelType w:val="hybridMultilevel"/>
    <w:tmpl w:val="0836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06255">
    <w:abstractNumId w:val="2"/>
  </w:num>
  <w:num w:numId="2" w16cid:durableId="634720321">
    <w:abstractNumId w:val="1"/>
  </w:num>
  <w:num w:numId="3" w16cid:durableId="2060011106">
    <w:abstractNumId w:val="0"/>
  </w:num>
  <w:num w:numId="4" w16cid:durableId="48602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A7"/>
    <w:rsid w:val="00002E0D"/>
    <w:rsid w:val="00065A16"/>
    <w:rsid w:val="000744DC"/>
    <w:rsid w:val="00110B6A"/>
    <w:rsid w:val="001E15C3"/>
    <w:rsid w:val="00355DFB"/>
    <w:rsid w:val="00391167"/>
    <w:rsid w:val="003C33B9"/>
    <w:rsid w:val="00517BAC"/>
    <w:rsid w:val="00591388"/>
    <w:rsid w:val="006425B7"/>
    <w:rsid w:val="006E77BF"/>
    <w:rsid w:val="007424F4"/>
    <w:rsid w:val="008B6904"/>
    <w:rsid w:val="0094481A"/>
    <w:rsid w:val="009D1480"/>
    <w:rsid w:val="00A544A7"/>
    <w:rsid w:val="00A71546"/>
    <w:rsid w:val="00B24283"/>
    <w:rsid w:val="00BB6907"/>
    <w:rsid w:val="00C86C71"/>
    <w:rsid w:val="00EC2D89"/>
    <w:rsid w:val="00F055A1"/>
    <w:rsid w:val="00F95238"/>
    <w:rsid w:val="00F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69C10"/>
  <w15:chartTrackingRefBased/>
  <w15:docId w15:val="{EC224877-8AEB-F445-B39C-B607393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1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Медведев</dc:creator>
  <cp:keywords/>
  <dc:description/>
  <cp:lastModifiedBy>Михаил Медведев</cp:lastModifiedBy>
  <cp:revision>9</cp:revision>
  <dcterms:created xsi:type="dcterms:W3CDTF">2024-04-23T18:17:00Z</dcterms:created>
  <dcterms:modified xsi:type="dcterms:W3CDTF">2024-04-30T15:48:00Z</dcterms:modified>
</cp:coreProperties>
</file>